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接线：编码器白色接A，绿色接B，红色接ＶＣＣ，黑色接ＧＮＤ，ＶＣＣ和ＧＮＤ从后置机取１２V并联</w:t>
      </w: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drawing>
          <wp:inline distT="0" distB="0" distL="0" distR="0">
            <wp:extent cx="5009515" cy="6256655"/>
            <wp:effectExtent l="0" t="0" r="63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9524" cy="6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默认地址：169.254.173.207</w:t>
      </w: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安装IOTservice</w:t>
      </w: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连接后按下图配置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drawing>
          <wp:inline distT="0" distB="0" distL="0" distR="0">
            <wp:extent cx="5629275" cy="5353050"/>
            <wp:effectExtent l="0" t="0" r="9525" b="0"/>
            <wp:docPr id="1" name="图片 1" descr="C:\Users\lenovo\Documents\Tencent Files\59020244\Image\C2C\OX29TU5KSVLFAL[8ZC9WF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lenovo\Documents\Tencent Files\59020244\Image\C2C\OX29TU5KSVLFAL[8ZC9WFP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01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2020-11-02T07:56:58Z</dcterms:created>
  <dc:creator>MYF</dc:creator>
  <cp:lastModifiedBy>MYF</cp:lastModifiedBy>
  <dcterms:modified xsi:type="dcterms:W3CDTF">2020-11-02T07:57:04Z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